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BAA74" w14:textId="69C43DCA" w:rsidR="00124E13" w:rsidRDefault="001849FF" w:rsidP="002B3D21">
      <w:pPr>
        <w:bidi w:val="0"/>
        <w:ind w:firstLine="0"/>
        <w:rPr>
          <w:noProof/>
          <w:lang w:bidi="fa-IR"/>
        </w:rPr>
      </w:pPr>
      <w:r w:rsidRPr="001849F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1FF9DF" wp14:editId="446A2A7F">
                <wp:simplePos x="0" y="0"/>
                <wp:positionH relativeFrom="page">
                  <wp:posOffset>-1675517</wp:posOffset>
                </wp:positionH>
                <wp:positionV relativeFrom="paragraph">
                  <wp:posOffset>1556910</wp:posOffset>
                </wp:positionV>
                <wp:extent cx="4983480" cy="431800"/>
                <wp:effectExtent l="0" t="0" r="7620" b="63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83480" cy="431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F7D02CF" w14:textId="77777777" w:rsidR="001849FF" w:rsidRPr="0034788E" w:rsidRDefault="00105D64" w:rsidP="001849FF">
                            <w:pPr>
                              <w:spacing w:after="0" w:line="259" w:lineRule="auto"/>
                              <w:ind w:left="1042" w:right="2541" w:firstLine="0"/>
                              <w:jc w:val="center"/>
                              <w:rPr>
                                <w:color w:val="002060"/>
                                <w:sz w:val="20"/>
                                <w:szCs w:val="20"/>
                              </w:rPr>
                            </w:pPr>
                            <w:hyperlink r:id="rId5">
                              <w:r w:rsidR="001849FF"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Faculty of New Sciences and Technologie</w:t>
                              </w:r>
                            </w:hyperlink>
                            <w:hyperlink r:id="rId6">
                              <w:r w:rsidR="001849FF"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s</w:t>
                              </w:r>
                            </w:hyperlink>
                            <w:hyperlink r:id="rId7">
                              <w:r w:rsidR="001849FF"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,</w:t>
                              </w:r>
                            </w:hyperlink>
                            <w:hyperlink r:id="rId8">
                              <w:r w:rsidR="001849FF" w:rsidRPr="0034788E">
                                <w:rPr>
                                  <w:color w:val="00206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hyperlink>
                            <w:r w:rsidR="001849FF" w:rsidRPr="0034788E">
                              <w:rPr>
                                <w:b/>
                                <w:color w:val="002060"/>
                                <w:sz w:val="20"/>
                                <w:szCs w:val="20"/>
                              </w:rPr>
                              <w:t>University of Tehran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1FF9DF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131.95pt;margin-top:122.6pt;width:392.4pt;height:34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" fillcolor="white [3201]" stroked="f" strokeweight=".5pt">
                <v:textbox>
                  <w:txbxContent>
                    <w:p w14:paraId="0F7D02CF" w14:textId="77777777" w:rsidR="001849FF" w:rsidRPr="0034788E" w:rsidRDefault="00105D64" w:rsidP="001849FF">
                      <w:pPr>
                        <w:spacing w:after="0" w:line="259" w:lineRule="auto"/>
                        <w:ind w:left="1042" w:right="2541" w:firstLine="0"/>
                        <w:jc w:val="center"/>
                        <w:rPr>
                          <w:color w:val="002060"/>
                          <w:sz w:val="20"/>
                          <w:szCs w:val="20"/>
                        </w:rPr>
                      </w:pPr>
                      <w:hyperlink r:id="rId9">
                        <w:r w:rsidR="001849FF" w:rsidRPr="0034788E">
                          <w:rPr>
                            <w:b/>
                            <w:color w:val="002060"/>
                            <w:sz w:val="20"/>
                            <w:szCs w:val="20"/>
                          </w:rPr>
                          <w:t>Faculty of New Sciences and Technologie</w:t>
                        </w:r>
                      </w:hyperlink>
                      <w:hyperlink r:id="rId10">
                        <w:r w:rsidR="001849FF" w:rsidRPr="0034788E">
                          <w:rPr>
                            <w:b/>
                            <w:color w:val="002060"/>
                            <w:sz w:val="20"/>
                            <w:szCs w:val="20"/>
                          </w:rPr>
                          <w:t>s</w:t>
                        </w:r>
                      </w:hyperlink>
                      <w:hyperlink r:id="rId11">
                        <w:r w:rsidR="001849FF" w:rsidRPr="0034788E">
                          <w:rPr>
                            <w:b/>
                            <w:color w:val="002060"/>
                            <w:sz w:val="20"/>
                            <w:szCs w:val="20"/>
                          </w:rPr>
                          <w:t>,</w:t>
                        </w:r>
                      </w:hyperlink>
                      <w:hyperlink r:id="rId12">
                        <w:r w:rsidR="001849FF" w:rsidRPr="0034788E">
                          <w:rPr>
                            <w:color w:val="002060"/>
                            <w:sz w:val="20"/>
                            <w:szCs w:val="20"/>
                          </w:rPr>
                          <w:t xml:space="preserve"> </w:t>
                        </w:r>
                      </w:hyperlink>
                      <w:r w:rsidR="001849FF" w:rsidRPr="0034788E">
                        <w:rPr>
                          <w:b/>
                          <w:color w:val="002060"/>
                          <w:sz w:val="20"/>
                          <w:szCs w:val="20"/>
                        </w:rPr>
                        <w:t>University of Tehran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849FF">
        <w:rPr>
          <w:noProof/>
        </w:rPr>
        <w:drawing>
          <wp:anchor distT="0" distB="0" distL="114300" distR="114300" simplePos="0" relativeHeight="251660288" behindDoc="0" locked="0" layoutInCell="1" allowOverlap="1" wp14:anchorId="312448A8" wp14:editId="462ECF97">
            <wp:simplePos x="0" y="0"/>
            <wp:positionH relativeFrom="margin">
              <wp:posOffset>212311</wp:posOffset>
            </wp:positionH>
            <wp:positionV relativeFrom="paragraph">
              <wp:posOffset>350823</wp:posOffset>
            </wp:positionV>
            <wp:extent cx="1182370" cy="1182370"/>
            <wp:effectExtent l="0" t="0" r="0" b="0"/>
            <wp:wrapNone/>
            <wp:docPr id="135" name="Picture 1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Picture 135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2370" cy="11823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849FF">
        <w:rPr>
          <w:noProof/>
        </w:rPr>
        <w:drawing>
          <wp:anchor distT="0" distB="0" distL="114300" distR="114300" simplePos="0" relativeHeight="251659264" behindDoc="0" locked="0" layoutInCell="1" allowOverlap="0" wp14:anchorId="7764683D" wp14:editId="114D1133">
            <wp:simplePos x="0" y="0"/>
            <wp:positionH relativeFrom="margin">
              <wp:posOffset>5309235</wp:posOffset>
            </wp:positionH>
            <wp:positionV relativeFrom="paragraph">
              <wp:posOffset>238760</wp:posOffset>
            </wp:positionV>
            <wp:extent cx="1429385" cy="1598930"/>
            <wp:effectExtent l="0" t="0" r="0" b="1270"/>
            <wp:wrapSquare wrapText="bothSides"/>
            <wp:docPr id="137" name="Picture 1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Picture 137"/>
                    <pic:cNvPicPr/>
                  </pic:nvPicPr>
                  <pic:blipFill rotWithShape="1">
                    <a:blip r:embed="rId14"/>
                    <a:srcRect l="14060" t="11119" r="12418"/>
                    <a:stretch/>
                  </pic:blipFill>
                  <pic:spPr bwMode="auto">
                    <a:xfrm>
                      <a:off x="0" y="0"/>
                      <a:ext cx="1429385" cy="15989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pPr w:leftFromText="180" w:rightFromText="180" w:vertAnchor="text" w:horzAnchor="margin" w:tblpX="704" w:tblpY="19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1"/>
        <w:gridCol w:w="4615"/>
      </w:tblGrid>
      <w:tr w:rsidR="00C826CF" w14:paraId="18BF8392" w14:textId="77777777" w:rsidTr="001849FF">
        <w:trPr>
          <w:trHeight w:val="1380"/>
        </w:trPr>
        <w:tc>
          <w:tcPr>
            <w:tcW w:w="4611" w:type="dxa"/>
          </w:tcPr>
          <w:p w14:paraId="0CD70EB1" w14:textId="7D4A1825" w:rsidR="00C826CF" w:rsidRDefault="00C826CF" w:rsidP="001849FF">
            <w:pPr>
              <w:bidi w:val="0"/>
              <w:ind w:firstLine="0"/>
              <w:jc w:val="center"/>
            </w:pPr>
          </w:p>
        </w:tc>
        <w:tc>
          <w:tcPr>
            <w:tcW w:w="4615" w:type="dxa"/>
          </w:tcPr>
          <w:p w14:paraId="35924294" w14:textId="4F505BE8" w:rsidR="00C826CF" w:rsidRPr="001849FF" w:rsidRDefault="001849FF" w:rsidP="001849FF">
            <w:pPr>
              <w:bidi w:val="0"/>
              <w:ind w:firstLine="0"/>
            </w:pPr>
            <w:r w:rsidRPr="001849F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 wp14:anchorId="015A7086" wp14:editId="51014F1F">
                      <wp:simplePos x="0" y="0"/>
                      <wp:positionH relativeFrom="margin">
                        <wp:posOffset>-4174242</wp:posOffset>
                      </wp:positionH>
                      <wp:positionV relativeFrom="paragraph">
                        <wp:posOffset>326611</wp:posOffset>
                      </wp:positionV>
                      <wp:extent cx="7738110" cy="466090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738110" cy="4660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9E16989" w14:textId="77777777" w:rsidR="001849FF" w:rsidRPr="00744A08" w:rsidRDefault="001849FF" w:rsidP="001849FF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i/>
                                      <w:iCs/>
                                      <w:sz w:val="52"/>
                                      <w:szCs w:val="44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i/>
                                      <w:iCs/>
                                      <w:color w:val="202124"/>
                                      <w:sz w:val="44"/>
                                      <w:szCs w:val="44"/>
                                      <w:shd w:val="clear" w:color="auto" w:fill="FFFFFF"/>
                                    </w:rPr>
                                    <w:t xml:space="preserve">              </w:t>
                                  </w:r>
                                  <w:r w:rsidRPr="00744A08">
                                    <w:rPr>
                                      <w:rFonts w:asciiTheme="majorBidi" w:hAnsiTheme="majorBidi" w:cstheme="majorBidi"/>
                                      <w:i/>
                                      <w:iCs/>
                                      <w:color w:val="202124"/>
                                      <w:sz w:val="44"/>
                                      <w:szCs w:val="44"/>
                                      <w:shd w:val="clear" w:color="auto" w:fill="FFFFFF"/>
                                    </w:rPr>
                                    <w:t>"In the name of God"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5A7086" id="Text Box 3" o:spid="_x0000_s1027" type="#_x0000_t202" style="position:absolute;left:0;text-align:left;margin-left:-328.7pt;margin-top:25.7pt;width:609.3pt;height:36.7pt;z-index:-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" fillcolor="white [3201]" stroked="f" strokeweight=".5pt">
                      <v:textbox>
                        <w:txbxContent>
                          <w:p w14:paraId="49E16989" w14:textId="77777777" w:rsidR="001849FF" w:rsidRPr="00744A08" w:rsidRDefault="001849FF" w:rsidP="001849FF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52"/>
                                <w:szCs w:val="4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202124"/>
                                <w:sz w:val="44"/>
                                <w:szCs w:val="44"/>
                                <w:shd w:val="clear" w:color="auto" w:fill="FFFFFF"/>
                              </w:rPr>
                              <w:t xml:space="preserve">              </w:t>
                            </w:r>
                            <w:r w:rsidRPr="00744A08"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202124"/>
                                <w:sz w:val="44"/>
                                <w:szCs w:val="44"/>
                                <w:shd w:val="clear" w:color="auto" w:fill="FFFFFF"/>
                              </w:rPr>
                              <w:t>"In the name of God"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</w:tr>
    </w:tbl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8827"/>
      </w:tblGrid>
      <w:tr w:rsidR="00C826CF" w14:paraId="270540E7" w14:textId="77777777" w:rsidTr="003D3945">
        <w:trPr>
          <w:trHeight w:val="473"/>
        </w:trPr>
        <w:tc>
          <w:tcPr>
            <w:tcW w:w="8827" w:type="dxa"/>
          </w:tcPr>
          <w:p w14:paraId="062726B9" w14:textId="3FBE2F89" w:rsidR="00C826CF" w:rsidRDefault="001849FF" w:rsidP="00CB28C4">
            <w:pPr>
              <w:bidi w:val="0"/>
              <w:ind w:firstLine="0"/>
              <w:jc w:val="center"/>
              <w:rPr>
                <w:noProof/>
                <w:rtl/>
                <w:lang w:bidi="fa-IR"/>
              </w:rPr>
            </w:pPr>
            <w:r>
              <w:rPr>
                <w:sz w:val="32"/>
              </w:rPr>
              <w:t>Instrument Safety Data Sheet</w:t>
            </w:r>
            <w:r>
              <w:rPr>
                <w:rFonts w:ascii="B Nazanin" w:eastAsia="B Nazanin" w:hAnsi="B Nazanin"/>
                <w:sz w:val="28"/>
              </w:rPr>
              <w:t xml:space="preserve"> </w:t>
            </w:r>
          </w:p>
        </w:tc>
      </w:tr>
      <w:tr w:rsidR="00C826CF" w14:paraId="49A82833" w14:textId="77777777" w:rsidTr="003D3945">
        <w:trPr>
          <w:trHeight w:val="409"/>
        </w:trPr>
        <w:tc>
          <w:tcPr>
            <w:tcW w:w="8827" w:type="dxa"/>
          </w:tcPr>
          <w:p w14:paraId="0F97B284" w14:textId="7A240D0C" w:rsidR="00C826CF" w:rsidRDefault="00C826CF" w:rsidP="00C826CF">
            <w:pPr>
              <w:bidi w:val="0"/>
              <w:ind w:firstLine="0"/>
              <w:jc w:val="center"/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</w:pPr>
            <w:r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  <w:t>Product name:</w:t>
            </w:r>
            <w:r w:rsidR="002B3D21"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  <w:t xml:space="preserve"> </w:t>
            </w:r>
            <w:r w:rsidR="00105D64">
              <w:rPr>
                <w:rFonts w:cs="Times New Roman"/>
                <w:noProof/>
                <w:sz w:val="32"/>
                <w:szCs w:val="36"/>
                <w:lang w:bidi="fa-IR"/>
              </w:rPr>
              <w:t>Ammonia</w:t>
            </w:r>
          </w:p>
        </w:tc>
      </w:tr>
      <w:tr w:rsidR="003D3945" w14:paraId="51BB7432" w14:textId="77777777" w:rsidTr="003D3945">
        <w:tc>
          <w:tcPr>
            <w:tcW w:w="8827" w:type="dxa"/>
          </w:tcPr>
          <w:p w14:paraId="531B19D9" w14:textId="77BA926D" w:rsidR="003D3945" w:rsidRDefault="003D3945" w:rsidP="00C826CF">
            <w:pPr>
              <w:bidi w:val="0"/>
              <w:ind w:firstLine="0"/>
              <w:jc w:val="center"/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</w:pPr>
            <w:r>
              <w:t>Creation Date</w:t>
            </w:r>
            <w:r w:rsidR="007570A1">
              <w:t>:</w:t>
            </w:r>
            <w:r>
              <w:t xml:space="preserve"> </w:t>
            </w:r>
            <w:r w:rsidR="0002344F">
              <w:t>1</w:t>
            </w:r>
            <w:r>
              <w:t xml:space="preserve"> </w:t>
            </w:r>
            <w:r w:rsidR="0002344F">
              <w:t>June</w:t>
            </w:r>
            <w:r>
              <w:t xml:space="preserve"> 2021    </w:t>
            </w:r>
          </w:p>
        </w:tc>
      </w:tr>
    </w:tbl>
    <w:p w14:paraId="5A097C46" w14:textId="77777777" w:rsidR="00105D64" w:rsidRPr="00105D64" w:rsidRDefault="00105D64" w:rsidP="00105D64">
      <w:pPr>
        <w:ind w:firstLine="0"/>
        <w:rPr>
          <w:rFonts w:eastAsia="Calibri"/>
          <w:noProof/>
          <w:lang w:bidi="fa-IR"/>
        </w:rPr>
      </w:pPr>
    </w:p>
    <w:tbl>
      <w:tblPr>
        <w:tblStyle w:val="TableGrid1"/>
        <w:tblpPr w:leftFromText="180" w:rightFromText="180" w:vertAnchor="text" w:horzAnchor="margin" w:tblpX="704" w:tblpY="-89"/>
        <w:tblW w:w="8926" w:type="dxa"/>
        <w:tblInd w:w="0" w:type="dxa"/>
        <w:shd w:val="clear" w:color="auto" w:fill="DBDBDB" w:themeFill="accent3" w:themeFillTint="66"/>
        <w:tblLook w:val="04A0" w:firstRow="1" w:lastRow="0" w:firstColumn="1" w:lastColumn="0" w:noHBand="0" w:noVBand="1"/>
      </w:tblPr>
      <w:tblGrid>
        <w:gridCol w:w="8926"/>
      </w:tblGrid>
      <w:tr w:rsidR="00105D64" w:rsidRPr="00105D64" w14:paraId="21B905E0" w14:textId="77777777" w:rsidTr="00105D64"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14:paraId="38F17241" w14:textId="77777777" w:rsidR="00105D64" w:rsidRPr="00105D64" w:rsidRDefault="00105D64" w:rsidP="00105D64">
            <w:pPr>
              <w:tabs>
                <w:tab w:val="left" w:pos="1665"/>
              </w:tabs>
              <w:ind w:left="720" w:hanging="1111"/>
              <w:contextualSpacing/>
              <w:jc w:val="center"/>
              <w:rPr>
                <w:rFonts w:hint="cs"/>
                <w:rtl/>
              </w:rPr>
            </w:pPr>
            <w:r w:rsidRPr="00105D64">
              <w:t>Identification</w:t>
            </w:r>
          </w:p>
        </w:tc>
      </w:tr>
    </w:tbl>
    <w:p w14:paraId="5223292E" w14:textId="77777777" w:rsidR="00105D64" w:rsidRPr="00105D64" w:rsidRDefault="00105D64" w:rsidP="00105D64">
      <w:pPr>
        <w:tabs>
          <w:tab w:val="left" w:pos="1665"/>
        </w:tabs>
        <w:bidi w:val="0"/>
        <w:spacing w:line="276" w:lineRule="auto"/>
        <w:ind w:left="1440" w:hanging="702"/>
        <w:jc w:val="left"/>
        <w:rPr>
          <w:rFonts w:eastAsia="Calibri"/>
        </w:rPr>
      </w:pPr>
      <w:r w:rsidRPr="00105D64">
        <w:rPr>
          <w:rFonts w:eastAsia="Calibri"/>
        </w:rPr>
        <w:t>Product name: Ammonia</w:t>
      </w:r>
    </w:p>
    <w:p w14:paraId="29EFBC81" w14:textId="77777777" w:rsidR="00105D64" w:rsidRPr="00105D64" w:rsidRDefault="00105D64" w:rsidP="00105D64">
      <w:pPr>
        <w:tabs>
          <w:tab w:val="left" w:pos="1665"/>
        </w:tabs>
        <w:bidi w:val="0"/>
        <w:spacing w:line="276" w:lineRule="auto"/>
        <w:ind w:left="1440" w:hanging="702"/>
        <w:jc w:val="left"/>
        <w:rPr>
          <w:rFonts w:eastAsia="Calibri"/>
        </w:rPr>
      </w:pPr>
      <w:r w:rsidRPr="00105D64">
        <w:rPr>
          <w:rFonts w:eastAsia="Calibri"/>
        </w:rPr>
        <w:t>Chemical name: NH</w:t>
      </w:r>
      <w:r w:rsidRPr="00105D64">
        <w:rPr>
          <w:rFonts w:eastAsia="Calibri"/>
          <w:vertAlign w:val="subscript"/>
        </w:rPr>
        <w:t>3</w:t>
      </w:r>
    </w:p>
    <w:tbl>
      <w:tblPr>
        <w:tblStyle w:val="TableGrid1"/>
        <w:tblW w:w="8930" w:type="dxa"/>
        <w:tblInd w:w="704" w:type="dxa"/>
        <w:shd w:val="clear" w:color="auto" w:fill="FFE599" w:themeFill="accent4" w:themeFillTint="66"/>
        <w:tblLook w:val="04A0" w:firstRow="1" w:lastRow="0" w:firstColumn="1" w:lastColumn="0" w:noHBand="0" w:noVBand="1"/>
      </w:tblPr>
      <w:tblGrid>
        <w:gridCol w:w="8930"/>
      </w:tblGrid>
      <w:tr w:rsidR="00105D64" w:rsidRPr="00105D64" w14:paraId="6785CD2B" w14:textId="77777777" w:rsidTr="00105D64"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6D1F5ED4" w14:textId="77777777" w:rsidR="00105D64" w:rsidRPr="00105D64" w:rsidRDefault="00105D64" w:rsidP="00105D64">
            <w:pPr>
              <w:tabs>
                <w:tab w:val="left" w:pos="1665"/>
              </w:tabs>
              <w:ind w:firstLine="0"/>
              <w:jc w:val="center"/>
            </w:pPr>
            <w:r w:rsidRPr="00105D64">
              <w:t>What are the hazards?</w:t>
            </w:r>
          </w:p>
        </w:tc>
      </w:tr>
    </w:tbl>
    <w:p w14:paraId="131CE907" w14:textId="77777777" w:rsidR="00105D64" w:rsidRPr="00105D64" w:rsidRDefault="00105D64" w:rsidP="00105D64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105D64">
        <w:rPr>
          <w:rFonts w:eastAsia="Calibri"/>
          <w:b/>
          <w:bCs/>
        </w:rPr>
        <w:t xml:space="preserve">Main Hazards: </w:t>
      </w:r>
      <w:r w:rsidRPr="00105D64">
        <w:rPr>
          <w:rFonts w:eastAsia="Calibri"/>
        </w:rPr>
        <w:t>Irritating or corrosive to exposed tissues. Inhalation of</w:t>
      </w:r>
      <w:r w:rsidRPr="00105D64">
        <w:rPr>
          <w:rFonts w:eastAsia="Calibri" w:hint="cs"/>
          <w:rtl/>
        </w:rPr>
        <w:t xml:space="preserve"> </w:t>
      </w:r>
      <w:proofErr w:type="spellStart"/>
      <w:r w:rsidRPr="00105D64">
        <w:rPr>
          <w:rFonts w:eastAsia="Calibri"/>
        </w:rPr>
        <w:t>vapours</w:t>
      </w:r>
      <w:proofErr w:type="spellEnd"/>
      <w:r w:rsidRPr="00105D64">
        <w:rPr>
          <w:rFonts w:eastAsia="Calibri"/>
        </w:rPr>
        <w:t xml:space="preserve"> may result in pulmonary oedema and chemical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>pneumonitis. Contact with liquid product may cause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>frostbite or freeze burns, in exposed tissues. All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>cylinders are portable gas containers and must be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>regarded as pressure vessels at all times</w:t>
      </w:r>
      <w:r w:rsidRPr="00105D64">
        <w:rPr>
          <w:rFonts w:eastAsia="Calibri" w:hint="cs"/>
          <w:rtl/>
        </w:rPr>
        <w:t>.</w:t>
      </w:r>
    </w:p>
    <w:p w14:paraId="5724756D" w14:textId="77777777" w:rsidR="00105D64" w:rsidRPr="00105D64" w:rsidRDefault="00105D64" w:rsidP="00105D64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105D64">
        <w:rPr>
          <w:rFonts w:eastAsia="Calibri"/>
          <w:b/>
          <w:bCs/>
        </w:rPr>
        <w:t>Adverse Health Effects:</w:t>
      </w:r>
      <w:r w:rsidRPr="00105D64">
        <w:rPr>
          <w:rFonts w:eastAsia="Calibri"/>
        </w:rPr>
        <w:t xml:space="preserve"> Inhalation of high concentrations produces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>violent coughing due to the local action on the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>respiratory tract. If rapid escape is not possible, severe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>lung irritation, pulmonary oedema and death can result</w:t>
      </w:r>
      <w:r w:rsidRPr="00105D64">
        <w:rPr>
          <w:rFonts w:eastAsia="Calibri" w:hint="cs"/>
          <w:rtl/>
        </w:rPr>
        <w:t xml:space="preserve">. </w:t>
      </w:r>
      <w:r w:rsidRPr="00105D64">
        <w:rPr>
          <w:rFonts w:eastAsia="Calibri"/>
        </w:rPr>
        <w:t>Lower concentrations cause eye irritation, laryngitis and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>bronchitis</w:t>
      </w:r>
      <w:r w:rsidRPr="00105D64">
        <w:rPr>
          <w:rFonts w:eastAsia="Calibri" w:hint="cs"/>
          <w:rtl/>
        </w:rPr>
        <w:t xml:space="preserve">. </w:t>
      </w:r>
    </w:p>
    <w:p w14:paraId="2CB9C62B" w14:textId="77777777" w:rsidR="00105D64" w:rsidRPr="00105D64" w:rsidRDefault="00105D64" w:rsidP="00105D64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105D64">
        <w:rPr>
          <w:rFonts w:eastAsia="Calibri"/>
          <w:b/>
          <w:bCs/>
        </w:rPr>
        <w:t>Biological Hazards:</w:t>
      </w:r>
      <w:r w:rsidRPr="00105D64">
        <w:rPr>
          <w:rFonts w:eastAsia="Calibri"/>
        </w:rPr>
        <w:t xml:space="preserve"> Because of its alkaline properties, long-term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>exposure to flora can cause damage. Aquatic fauna can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>also be affected should the pH of their environment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>change due to long-term exposure to high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>concentrations of ammonia</w:t>
      </w:r>
      <w:r w:rsidRPr="00105D64">
        <w:rPr>
          <w:rFonts w:eastAsia="Calibri" w:hint="cs"/>
          <w:rtl/>
        </w:rPr>
        <w:t xml:space="preserve">. </w:t>
      </w:r>
    </w:p>
    <w:p w14:paraId="6DF424DA" w14:textId="77777777" w:rsidR="00105D64" w:rsidRPr="00105D64" w:rsidRDefault="00105D64" w:rsidP="00105D64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proofErr w:type="spellStart"/>
      <w:r w:rsidRPr="00105D64">
        <w:rPr>
          <w:rFonts w:eastAsia="Calibri"/>
          <w:b/>
          <w:bCs/>
        </w:rPr>
        <w:t>Vapour</w:t>
      </w:r>
      <w:proofErr w:type="spellEnd"/>
      <w:r w:rsidRPr="00105D64">
        <w:rPr>
          <w:rFonts w:eastAsia="Calibri"/>
          <w:b/>
          <w:bCs/>
        </w:rPr>
        <w:t xml:space="preserve"> Inhalation:</w:t>
      </w:r>
      <w:r w:rsidRPr="00105D64">
        <w:rPr>
          <w:rFonts w:eastAsia="Calibri"/>
        </w:rPr>
        <w:t xml:space="preserve"> Ammonia acts principally on the upper respiratory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>tract, where it exerts an alkaline, caustic action. It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>produces respiratory reflexes such as coughing and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>arrest of respiration. It affects the conjunctiva and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 xml:space="preserve">cornea </w:t>
      </w:r>
      <w:r w:rsidRPr="00105D64">
        <w:rPr>
          <w:rFonts w:eastAsia="Calibri"/>
        </w:rPr>
        <w:lastRenderedPageBreak/>
        <w:t>immediately. Inhalation causes acute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>inflammation of the respiratory organs, coughing</w:t>
      </w:r>
      <w:r w:rsidRPr="00105D64">
        <w:rPr>
          <w:rFonts w:eastAsia="Calibri" w:hint="cs"/>
          <w:rtl/>
        </w:rPr>
        <w:t xml:space="preserve">, </w:t>
      </w:r>
      <w:r w:rsidRPr="00105D64">
        <w:rPr>
          <w:rFonts w:eastAsia="Calibri"/>
        </w:rPr>
        <w:t xml:space="preserve">oedema of the lungs, chronic bronchial </w:t>
      </w:r>
      <w:proofErr w:type="gramStart"/>
      <w:r w:rsidRPr="00105D64">
        <w:rPr>
          <w:rFonts w:eastAsia="Calibri"/>
        </w:rPr>
        <w:t>catarrh,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 xml:space="preserve"> secretion</w:t>
      </w:r>
      <w:proofErr w:type="gramEnd"/>
      <w:r w:rsidRPr="00105D64">
        <w:rPr>
          <w:rFonts w:eastAsia="Calibri"/>
        </w:rPr>
        <w:t xml:space="preserve"> of saliva and retention of urine</w:t>
      </w:r>
      <w:r w:rsidRPr="00105D64">
        <w:rPr>
          <w:rFonts w:eastAsia="Calibri" w:hint="cs"/>
          <w:rtl/>
        </w:rPr>
        <w:t xml:space="preserve">. </w:t>
      </w:r>
    </w:p>
    <w:p w14:paraId="4A36B91A" w14:textId="77777777" w:rsidR="00105D64" w:rsidRPr="00105D64" w:rsidRDefault="00105D64" w:rsidP="00105D64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105D64">
        <w:rPr>
          <w:rFonts w:eastAsia="Calibri"/>
          <w:b/>
          <w:bCs/>
        </w:rPr>
        <w:t>Eye Contact</w:t>
      </w:r>
      <w:r w:rsidRPr="00105D64">
        <w:rPr>
          <w:rFonts w:eastAsia="Calibri"/>
        </w:rPr>
        <w:t>: Exposure to high gas concentrations may cause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>temporary blindness and severe eye damage. Direct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>contact of the eyes with liquid anhydrous ammonia will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>produce serious eye burns</w:t>
      </w:r>
      <w:r w:rsidRPr="00105D64">
        <w:rPr>
          <w:rFonts w:eastAsia="Calibri" w:hint="cs"/>
          <w:rtl/>
        </w:rPr>
        <w:t xml:space="preserve">. </w:t>
      </w:r>
    </w:p>
    <w:p w14:paraId="306808AB" w14:textId="77777777" w:rsidR="00105D64" w:rsidRPr="00105D64" w:rsidRDefault="00105D64" w:rsidP="00105D64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105D64">
        <w:rPr>
          <w:rFonts w:eastAsia="Calibri"/>
          <w:b/>
          <w:bCs/>
        </w:rPr>
        <w:t>Skin Contact:</w:t>
      </w:r>
      <w:r w:rsidRPr="00105D64">
        <w:rPr>
          <w:rFonts w:eastAsia="Calibri"/>
        </w:rPr>
        <w:t xml:space="preserve"> Liquid anhydrous ammonia produces skin burns on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>contact</w:t>
      </w:r>
      <w:r w:rsidRPr="00105D64">
        <w:rPr>
          <w:rFonts w:eastAsia="Calibri" w:hint="cs"/>
          <w:rtl/>
        </w:rPr>
        <w:t xml:space="preserve">. </w:t>
      </w:r>
    </w:p>
    <w:p w14:paraId="22214304" w14:textId="77777777" w:rsidR="00105D64" w:rsidRPr="00105D64" w:rsidRDefault="00105D64" w:rsidP="00105D64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105D64">
        <w:rPr>
          <w:rFonts w:eastAsia="Calibri"/>
          <w:b/>
          <w:bCs/>
        </w:rPr>
        <w:t>Ingestion</w:t>
      </w:r>
      <w:r w:rsidRPr="00105D64">
        <w:rPr>
          <w:rFonts w:eastAsia="Calibri"/>
        </w:rPr>
        <w:t>: Swallowing of the liquid results in severe corrosive action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>of the mouth, throat, and stomach.</w:t>
      </w:r>
    </w:p>
    <w:tbl>
      <w:tblPr>
        <w:tblStyle w:val="TableGrid1"/>
        <w:tblW w:w="0" w:type="auto"/>
        <w:tblInd w:w="704" w:type="dxa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8832"/>
      </w:tblGrid>
      <w:tr w:rsidR="00105D64" w:rsidRPr="00105D64" w14:paraId="444E402E" w14:textId="77777777" w:rsidTr="00105D64">
        <w:tc>
          <w:tcPr>
            <w:tcW w:w="8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7114C173" w14:textId="77777777" w:rsidR="00105D64" w:rsidRPr="00105D64" w:rsidRDefault="00105D64" w:rsidP="00105D64">
            <w:pPr>
              <w:tabs>
                <w:tab w:val="left" w:pos="1665"/>
              </w:tabs>
              <w:ind w:firstLine="0"/>
              <w:jc w:val="center"/>
            </w:pPr>
            <w:r w:rsidRPr="00105D64">
              <w:t>First-aid Measures</w:t>
            </w:r>
          </w:p>
        </w:tc>
      </w:tr>
    </w:tbl>
    <w:p w14:paraId="0900F1AA" w14:textId="77777777" w:rsidR="00105D64" w:rsidRPr="00105D64" w:rsidRDefault="00105D64" w:rsidP="00105D64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105D64">
        <w:rPr>
          <w:rFonts w:eastAsia="Calibri"/>
          <w:b/>
          <w:bCs/>
        </w:rPr>
        <w:t>Eye Contact</w:t>
      </w:r>
      <w:r w:rsidRPr="00105D64">
        <w:rPr>
          <w:rFonts w:eastAsia="Calibri"/>
        </w:rPr>
        <w:t xml:space="preserve"> Persons with potential exposure to ammonia should not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>wear contact lenses. Call a physician at once</w:t>
      </w:r>
      <w:r w:rsidRPr="00105D64">
        <w:rPr>
          <w:rFonts w:eastAsia="Calibri" w:hint="cs"/>
          <w:rtl/>
        </w:rPr>
        <w:t xml:space="preserve">. </w:t>
      </w:r>
      <w:r w:rsidRPr="00105D64">
        <w:rPr>
          <w:rFonts w:eastAsia="Calibri"/>
        </w:rPr>
        <w:t>Immediately begin irrigation of the eyes with copious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>amounts of clean water while holding the eyelids apart</w:t>
      </w:r>
      <w:r w:rsidRPr="00105D64">
        <w:rPr>
          <w:rFonts w:eastAsia="Calibri" w:hint="cs"/>
          <w:rtl/>
        </w:rPr>
        <w:t xml:space="preserve">. </w:t>
      </w:r>
      <w:r w:rsidRPr="00105D64">
        <w:rPr>
          <w:rFonts w:eastAsia="Calibri"/>
        </w:rPr>
        <w:t>Continue irrigation for 15 minutes. Repeat this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>procedure every 10 minutes for an hour, each time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>irrigating for a period of 5 minutes. If readily available, a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>5%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>boric acid solution may be used instead of water</w:t>
      </w:r>
      <w:r w:rsidRPr="00105D64">
        <w:rPr>
          <w:rFonts w:eastAsia="Calibri" w:hint="cs"/>
          <w:rtl/>
        </w:rPr>
        <w:t xml:space="preserve">, </w:t>
      </w:r>
      <w:r w:rsidRPr="00105D64">
        <w:rPr>
          <w:rFonts w:eastAsia="Calibri"/>
        </w:rPr>
        <w:t>but irrigation must not be delayed while such a solution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>is sought or prepared. Prompt and thorough irrigation is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 xml:space="preserve">of primary importance. Any standard </w:t>
      </w:r>
      <w:proofErr w:type="spellStart"/>
      <w:r w:rsidRPr="00105D64">
        <w:rPr>
          <w:rFonts w:eastAsia="Calibri"/>
        </w:rPr>
        <w:t>anaesthetic</w:t>
      </w:r>
      <w:proofErr w:type="spellEnd"/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>solution for ophthalmic use ordered by the physician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>may be instilled for control of severe pain, but only after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 xml:space="preserve">the </w:t>
      </w:r>
      <w:proofErr w:type="gramStart"/>
      <w:r w:rsidRPr="00105D64">
        <w:rPr>
          <w:rFonts w:eastAsia="Calibri"/>
        </w:rPr>
        <w:t>15 minute</w:t>
      </w:r>
      <w:proofErr w:type="gramEnd"/>
      <w:r w:rsidRPr="00105D64">
        <w:rPr>
          <w:rFonts w:eastAsia="Calibri"/>
        </w:rPr>
        <w:t xml:space="preserve"> period of irrigation has been completed</w:t>
      </w:r>
      <w:r w:rsidRPr="00105D64">
        <w:rPr>
          <w:rFonts w:eastAsia="Calibri" w:hint="cs"/>
          <w:rtl/>
        </w:rPr>
        <w:t xml:space="preserve">. </w:t>
      </w:r>
      <w:r w:rsidRPr="00105D64">
        <w:rPr>
          <w:rFonts w:eastAsia="Calibri"/>
        </w:rPr>
        <w:t>Continuous cold boric acid compresses should be used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>for cases of severe injury, in addition to irrigation</w:t>
      </w:r>
      <w:r w:rsidRPr="00105D64">
        <w:rPr>
          <w:rFonts w:eastAsia="Calibri" w:hint="cs"/>
          <w:rtl/>
        </w:rPr>
        <w:t xml:space="preserve">. </w:t>
      </w:r>
      <w:r w:rsidRPr="00105D64">
        <w:rPr>
          <w:rFonts w:eastAsia="Calibri"/>
        </w:rPr>
        <w:t>No oils or ointments should be instilled until after the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>eye has been examined by a qualified physician, and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>then only as prescribed by him. Ulcers of the cornea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>should be treated by an ophthalmologist</w:t>
      </w:r>
      <w:r w:rsidRPr="00105D64">
        <w:rPr>
          <w:rFonts w:eastAsia="Calibri" w:hint="cs"/>
          <w:rtl/>
        </w:rPr>
        <w:t>.</w:t>
      </w:r>
    </w:p>
    <w:p w14:paraId="0443CF24" w14:textId="77777777" w:rsidR="00105D64" w:rsidRPr="00105D64" w:rsidRDefault="00105D64" w:rsidP="00105D64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105D64">
        <w:rPr>
          <w:rFonts w:eastAsia="Calibri"/>
          <w:b/>
          <w:bCs/>
        </w:rPr>
        <w:t>Skin Contact</w:t>
      </w:r>
      <w:r w:rsidRPr="00105D64">
        <w:rPr>
          <w:rFonts w:eastAsia="Calibri"/>
        </w:rPr>
        <w:t xml:space="preserve"> If skin contact is extensive and emergency showers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>available, the victim should get under the emergency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>shower immediately. Contaminated clothing and shoes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>should be removed under the shower. In other cases</w:t>
      </w:r>
      <w:r w:rsidRPr="00105D64">
        <w:rPr>
          <w:rFonts w:eastAsia="Calibri" w:hint="cs"/>
          <w:rtl/>
        </w:rPr>
        <w:t xml:space="preserve">, </w:t>
      </w:r>
      <w:r w:rsidRPr="00105D64">
        <w:rPr>
          <w:rFonts w:eastAsia="Calibri"/>
        </w:rPr>
        <w:t>the affected areas should be washed thoroughly with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>large amounts of running water for at least 15 minutes</w:t>
      </w:r>
      <w:r w:rsidRPr="00105D64">
        <w:rPr>
          <w:rFonts w:eastAsia="Calibri" w:hint="cs"/>
          <w:rtl/>
        </w:rPr>
        <w:t xml:space="preserve">. </w:t>
      </w:r>
      <w:r w:rsidRPr="00105D64">
        <w:rPr>
          <w:rFonts w:eastAsia="Calibri"/>
        </w:rPr>
        <w:t>Do not apply salves or ointments or cover burns with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>dressing; however, protect the injured area with a clean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 xml:space="preserve">cloth prior to medical care. Do not attempt to </w:t>
      </w:r>
      <w:proofErr w:type="spellStart"/>
      <w:r w:rsidRPr="00105D64">
        <w:rPr>
          <w:rFonts w:eastAsia="Calibri"/>
        </w:rPr>
        <w:t>neutralise</w:t>
      </w:r>
      <w:proofErr w:type="spellEnd"/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>the ammonia. Subsequent medical treatment is otherwise the same as for thermal burns.</w:t>
      </w:r>
    </w:p>
    <w:p w14:paraId="386E5D63" w14:textId="77777777" w:rsidR="00105D64" w:rsidRPr="00105D64" w:rsidRDefault="00105D64" w:rsidP="00105D64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105D64">
        <w:rPr>
          <w:rFonts w:eastAsia="Calibri"/>
          <w:b/>
          <w:bCs/>
        </w:rPr>
        <w:t>Inhalation</w:t>
      </w:r>
      <w:r w:rsidRPr="00105D64">
        <w:rPr>
          <w:rFonts w:eastAsia="Calibri"/>
        </w:rPr>
        <w:t xml:space="preserve"> The conscious person who has inhaled a concentration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>of ammonia which causes irritation effects should go to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 xml:space="preserve">an uncontaminated area and inhale fresh </w:t>
      </w:r>
      <w:r w:rsidRPr="00105D64">
        <w:rPr>
          <w:rFonts w:eastAsia="Calibri"/>
        </w:rPr>
        <w:lastRenderedPageBreak/>
        <w:t>air or oxygen</w:t>
      </w:r>
      <w:r w:rsidRPr="00105D64">
        <w:rPr>
          <w:rFonts w:eastAsia="Calibri" w:hint="cs"/>
          <w:rtl/>
        </w:rPr>
        <w:t xml:space="preserve">. </w:t>
      </w:r>
      <w:r w:rsidRPr="00105D64">
        <w:rPr>
          <w:rFonts w:eastAsia="Calibri"/>
        </w:rPr>
        <w:t>Eye, nose and throat irritation should be treated as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>described below for more serious exposures. However</w:t>
      </w:r>
      <w:r w:rsidRPr="00105D64">
        <w:rPr>
          <w:rFonts w:eastAsia="Calibri" w:hint="cs"/>
          <w:rtl/>
        </w:rPr>
        <w:t xml:space="preserve">, </w:t>
      </w:r>
      <w:r w:rsidRPr="00105D64">
        <w:rPr>
          <w:rFonts w:eastAsia="Calibri"/>
        </w:rPr>
        <w:t>if the exposure has been to minor concentrations for a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>limited time, usually no treatment will be required. A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>worker overcome by ammonia must be carried to an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>uncontaminated atmosphere and, if breathing is</w:t>
      </w:r>
      <w:r w:rsidRPr="00105D64">
        <w:rPr>
          <w:rFonts w:eastAsia="Calibri" w:hint="cs"/>
          <w:rtl/>
        </w:rPr>
        <w:t xml:space="preserve"> </w:t>
      </w:r>
      <w:proofErr w:type="spellStart"/>
      <w:r w:rsidRPr="00105D64">
        <w:rPr>
          <w:rFonts w:eastAsia="Calibri"/>
        </w:rPr>
        <w:t>laboured</w:t>
      </w:r>
      <w:proofErr w:type="spellEnd"/>
      <w:r w:rsidRPr="00105D64">
        <w:rPr>
          <w:rFonts w:eastAsia="Calibri"/>
        </w:rPr>
        <w:t xml:space="preserve"> or has ceased, given artificial respiration</w:t>
      </w:r>
      <w:r w:rsidRPr="00105D64">
        <w:rPr>
          <w:rFonts w:eastAsia="Calibri" w:hint="cs"/>
          <w:rtl/>
        </w:rPr>
        <w:t xml:space="preserve"> (</w:t>
      </w:r>
      <w:r w:rsidRPr="00105D64">
        <w:rPr>
          <w:rFonts w:eastAsia="Calibri"/>
        </w:rPr>
        <w:t>back-pressure, arm lift, or mouth-to-mouth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>resuscitation) immediately, preferably by trained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>personnel. When breathing has been restored, 100%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>oxygen is administered, but not for more than 1 hour of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>continuous treatment at one time. Oxygen therapy may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>be interrupted after 1 hour, and reinstituted as the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>clinical condition indicates. Observe for laryngeal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>spasm and perform tracheotomy if indicated. In case of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>severe exposure, the patient should breathe 100%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>oxygen under positive exhalation pressure (4cm) for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>one-half hour periods every hour. Treatment may be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>continued in this way until symptoms subside or other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>clinical indications for interruption appear</w:t>
      </w:r>
      <w:r w:rsidRPr="00105D64">
        <w:rPr>
          <w:rFonts w:eastAsia="Calibri" w:hint="cs"/>
          <w:rtl/>
        </w:rPr>
        <w:t xml:space="preserve">. </w:t>
      </w:r>
    </w:p>
    <w:p w14:paraId="7D01797A" w14:textId="77777777" w:rsidR="00105D64" w:rsidRPr="00105D64" w:rsidRDefault="00105D64" w:rsidP="00105D64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105D64">
        <w:rPr>
          <w:rFonts w:eastAsia="Calibri"/>
          <w:b/>
          <w:bCs/>
        </w:rPr>
        <w:t>Contact with nose &amp; throat</w:t>
      </w:r>
      <w:r w:rsidRPr="00105D64">
        <w:rPr>
          <w:rFonts w:eastAsia="Calibri"/>
        </w:rPr>
        <w:t>. Irrigate the nose and mouth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>continuously for 15 minutes. If the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>patient can swallow, encourage him to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>drink large quantities of 0,5% citric acid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>solution or lemonade. Never give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>anything by mouth to an unconscious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>person</w:t>
      </w:r>
      <w:r w:rsidRPr="00105D64">
        <w:rPr>
          <w:rFonts w:eastAsia="Calibri" w:hint="cs"/>
          <w:rtl/>
        </w:rPr>
        <w:t>.</w:t>
      </w:r>
    </w:p>
    <w:p w14:paraId="3C9E2758" w14:textId="77777777" w:rsidR="00105D64" w:rsidRPr="00105D64" w:rsidRDefault="00105D64" w:rsidP="00105D64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105D64">
        <w:rPr>
          <w:rFonts w:eastAsia="Calibri"/>
          <w:b/>
          <w:bCs/>
        </w:rPr>
        <w:t>Ingestion</w:t>
      </w:r>
      <w:r w:rsidRPr="00105D64">
        <w:rPr>
          <w:rFonts w:eastAsia="Calibri"/>
        </w:rPr>
        <w:t xml:space="preserve"> If liquid anhydrous ammonia has been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>swallowed, call a physician immediately</w:t>
      </w:r>
      <w:r w:rsidRPr="00105D64">
        <w:rPr>
          <w:rFonts w:eastAsia="Calibri" w:hint="cs"/>
          <w:rtl/>
        </w:rPr>
        <w:t xml:space="preserve">. </w:t>
      </w:r>
      <w:r w:rsidRPr="00105D64">
        <w:rPr>
          <w:rFonts w:eastAsia="Calibri"/>
        </w:rPr>
        <w:t>If the patient is conscious and able, he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>should drink large amounts of water to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>dilute the chemical. Do not induce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>vomiting if the patient is in shock</w:t>
      </w:r>
      <w:r w:rsidRPr="00105D64">
        <w:rPr>
          <w:rFonts w:eastAsia="Calibri" w:hint="cs"/>
          <w:rtl/>
        </w:rPr>
        <w:t xml:space="preserve">, </w:t>
      </w:r>
      <w:r w:rsidRPr="00105D64">
        <w:rPr>
          <w:rFonts w:eastAsia="Calibri"/>
        </w:rPr>
        <w:t>extreme pain or is unconscious. If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>vomiting begins, place the patient face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>down with head lower than hips; this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>prevents vomit from entering the lungs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>and causing further injury</w:t>
      </w:r>
    </w:p>
    <w:tbl>
      <w:tblPr>
        <w:tblStyle w:val="TableGrid1"/>
        <w:tblW w:w="0" w:type="auto"/>
        <w:tblInd w:w="704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8832"/>
      </w:tblGrid>
      <w:tr w:rsidR="00105D64" w:rsidRPr="00105D64" w14:paraId="45113952" w14:textId="77777777" w:rsidTr="00105D64">
        <w:tc>
          <w:tcPr>
            <w:tcW w:w="8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hideMark/>
          </w:tcPr>
          <w:p w14:paraId="1A5835B6" w14:textId="77777777" w:rsidR="00105D64" w:rsidRPr="00105D64" w:rsidRDefault="00105D64" w:rsidP="00105D64">
            <w:pPr>
              <w:tabs>
                <w:tab w:val="left" w:pos="1665"/>
              </w:tabs>
              <w:ind w:firstLine="0"/>
              <w:jc w:val="center"/>
            </w:pPr>
            <w:r w:rsidRPr="00105D64">
              <w:t>Fire-fighting Measures</w:t>
            </w:r>
          </w:p>
        </w:tc>
      </w:tr>
    </w:tbl>
    <w:p w14:paraId="40D0CD17" w14:textId="77777777" w:rsidR="00105D64" w:rsidRPr="00105D64" w:rsidRDefault="00105D64" w:rsidP="00105D64">
      <w:pPr>
        <w:tabs>
          <w:tab w:val="left" w:pos="1665"/>
        </w:tabs>
        <w:bidi w:val="0"/>
        <w:ind w:left="1440" w:hanging="702"/>
        <w:rPr>
          <w:rFonts w:eastAsia="Calibri"/>
        </w:rPr>
      </w:pPr>
      <w:r w:rsidRPr="00105D64">
        <w:rPr>
          <w:rFonts w:eastAsia="Calibri"/>
          <w:b/>
          <w:bCs/>
        </w:rPr>
        <w:t>Extinguishing media.</w:t>
      </w:r>
      <w:r w:rsidRPr="00105D64">
        <w:rPr>
          <w:rFonts w:eastAsia="Calibri"/>
        </w:rPr>
        <w:t xml:space="preserve"> Fog-water spray. (In the absence of fog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>equipment, a fine spray of water may be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>used.) Use media suitable for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>surrounding fire. Although ammonia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>does not represent a serious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>flammability hazard, mixtures of air and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>ammonia containing from 15% to 28%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 xml:space="preserve">ammonia </w:t>
      </w:r>
      <w:proofErr w:type="spellStart"/>
      <w:r w:rsidRPr="00105D64">
        <w:rPr>
          <w:rFonts w:eastAsia="Calibri"/>
        </w:rPr>
        <w:t>vapour</w:t>
      </w:r>
      <w:proofErr w:type="spellEnd"/>
      <w:r w:rsidRPr="00105D64">
        <w:rPr>
          <w:rFonts w:eastAsia="Calibri"/>
        </w:rPr>
        <w:t xml:space="preserve"> by volume will ignite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>when sparked, or exposed to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>temperatures exceeding 651°C</w:t>
      </w:r>
      <w:r w:rsidRPr="00105D64">
        <w:rPr>
          <w:rFonts w:eastAsia="Calibri" w:hint="cs"/>
          <w:rtl/>
        </w:rPr>
        <w:t>.</w:t>
      </w:r>
    </w:p>
    <w:p w14:paraId="66835C15" w14:textId="275070D4" w:rsidR="00C53D46" w:rsidRPr="00105D64" w:rsidRDefault="00105D64" w:rsidP="00105D64">
      <w:pPr>
        <w:tabs>
          <w:tab w:val="left" w:pos="1665"/>
        </w:tabs>
        <w:bidi w:val="0"/>
        <w:ind w:left="1440" w:hanging="702"/>
        <w:rPr>
          <w:rFonts w:eastAsia="Calibri"/>
        </w:rPr>
      </w:pPr>
      <w:r w:rsidRPr="00105D64">
        <w:rPr>
          <w:rFonts w:eastAsia="Calibri"/>
          <w:b/>
          <w:bCs/>
        </w:rPr>
        <w:t>Specific Hazards</w:t>
      </w:r>
      <w:r w:rsidRPr="00105D64">
        <w:rPr>
          <w:rFonts w:eastAsia="Calibri"/>
        </w:rPr>
        <w:t xml:space="preserve"> High levels of ammonia can produce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>corrosive effects on tissues and can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>cause laryngeal and bronchial spasm</w:t>
      </w:r>
      <w:r w:rsidRPr="00105D64">
        <w:rPr>
          <w:rFonts w:eastAsia="Calibri" w:hint="cs"/>
          <w:rtl/>
        </w:rPr>
        <w:t xml:space="preserve"> </w:t>
      </w:r>
      <w:r w:rsidRPr="00105D64">
        <w:rPr>
          <w:rFonts w:eastAsia="Calibri"/>
        </w:rPr>
        <w:t>and oedema so as to obstruct breathing.</w:t>
      </w:r>
    </w:p>
    <w:sectPr w:rsidR="00C53D46" w:rsidRPr="00105D64" w:rsidSect="00270569">
      <w:pgSz w:w="12240" w:h="15840"/>
      <w:pgMar w:top="284" w:right="1985" w:bottom="1418" w:left="709" w:header="0" w:footer="851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46062"/>
    <w:multiLevelType w:val="hybridMultilevel"/>
    <w:tmpl w:val="BB1EE34C"/>
    <w:lvl w:ilvl="0" w:tplc="04090001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1" w15:restartNumberingAfterBreak="0">
    <w:nsid w:val="17177857"/>
    <w:multiLevelType w:val="multilevel"/>
    <w:tmpl w:val="0A7EC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0A4B54"/>
    <w:multiLevelType w:val="hybridMultilevel"/>
    <w:tmpl w:val="1B48D822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3" w15:restartNumberingAfterBreak="0">
    <w:nsid w:val="1EE74DFF"/>
    <w:multiLevelType w:val="hybridMultilevel"/>
    <w:tmpl w:val="2A5454B4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4" w15:restartNumberingAfterBreak="0">
    <w:nsid w:val="1F98316C"/>
    <w:multiLevelType w:val="hybridMultilevel"/>
    <w:tmpl w:val="5992982E"/>
    <w:lvl w:ilvl="0" w:tplc="04090001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5" w15:restartNumberingAfterBreak="0">
    <w:nsid w:val="2A8C719E"/>
    <w:multiLevelType w:val="hybridMultilevel"/>
    <w:tmpl w:val="F36CF5AE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6" w15:restartNumberingAfterBreak="0">
    <w:nsid w:val="61DB5DA0"/>
    <w:multiLevelType w:val="hybridMultilevel"/>
    <w:tmpl w:val="043E1C4A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7" w15:restartNumberingAfterBreak="0">
    <w:nsid w:val="71D5505A"/>
    <w:multiLevelType w:val="hybridMultilevel"/>
    <w:tmpl w:val="7B2825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A95BBC"/>
    <w:multiLevelType w:val="hybridMultilevel"/>
    <w:tmpl w:val="209A0290"/>
    <w:lvl w:ilvl="0" w:tplc="04090001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0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3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Y1tzQ2MjAxsjQ1MjZW0lEKTi0uzszPAykwqgUAeMHGDiwAAAA="/>
  </w:docVars>
  <w:rsids>
    <w:rsidRoot w:val="00D71953"/>
    <w:rsid w:val="0002344F"/>
    <w:rsid w:val="000C3B0A"/>
    <w:rsid w:val="000D73CF"/>
    <w:rsid w:val="00105D64"/>
    <w:rsid w:val="00124E13"/>
    <w:rsid w:val="001849FF"/>
    <w:rsid w:val="00186739"/>
    <w:rsid w:val="001B65C7"/>
    <w:rsid w:val="0026216E"/>
    <w:rsid w:val="00270569"/>
    <w:rsid w:val="002B3D21"/>
    <w:rsid w:val="00316AE3"/>
    <w:rsid w:val="00333397"/>
    <w:rsid w:val="003C169B"/>
    <w:rsid w:val="003D3945"/>
    <w:rsid w:val="00441EFE"/>
    <w:rsid w:val="004428F7"/>
    <w:rsid w:val="004C57AE"/>
    <w:rsid w:val="004E6A04"/>
    <w:rsid w:val="00564246"/>
    <w:rsid w:val="006B1A7E"/>
    <w:rsid w:val="00752C93"/>
    <w:rsid w:val="007570A1"/>
    <w:rsid w:val="007859E8"/>
    <w:rsid w:val="007B7E7B"/>
    <w:rsid w:val="008835A9"/>
    <w:rsid w:val="00990F2C"/>
    <w:rsid w:val="00990FF2"/>
    <w:rsid w:val="00A257C9"/>
    <w:rsid w:val="00A40FE6"/>
    <w:rsid w:val="00A60EED"/>
    <w:rsid w:val="00B175D2"/>
    <w:rsid w:val="00B37B66"/>
    <w:rsid w:val="00B720C5"/>
    <w:rsid w:val="00B77707"/>
    <w:rsid w:val="00C53D46"/>
    <w:rsid w:val="00C7772F"/>
    <w:rsid w:val="00C826CF"/>
    <w:rsid w:val="00C97B2D"/>
    <w:rsid w:val="00CA292B"/>
    <w:rsid w:val="00CB28C4"/>
    <w:rsid w:val="00CB3D1D"/>
    <w:rsid w:val="00D10300"/>
    <w:rsid w:val="00D71953"/>
    <w:rsid w:val="00D727BD"/>
    <w:rsid w:val="00E6290A"/>
    <w:rsid w:val="00E76C18"/>
    <w:rsid w:val="00EA3B96"/>
    <w:rsid w:val="00EB4C8E"/>
    <w:rsid w:val="00EE5339"/>
    <w:rsid w:val="00F25FD1"/>
    <w:rsid w:val="00F91DCF"/>
    <w:rsid w:val="00F92A05"/>
    <w:rsid w:val="00FA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47F32F"/>
  <w15:chartTrackingRefBased/>
  <w15:docId w15:val="{887B83E1-0820-43BC-85B7-7A22618D1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B Nazanin"/>
        <w:sz w:val="26"/>
        <w:szCs w:val="28"/>
        <w:lang w:val="en-US" w:eastAsia="en-US" w:bidi="ar-SA"/>
      </w:rPr>
    </w:rPrDefault>
    <w:pPrDefault>
      <w:pPr>
        <w:bidi/>
        <w:spacing w:after="120" w:line="360" w:lineRule="auto"/>
        <w:ind w:firstLine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D46"/>
  </w:style>
  <w:style w:type="paragraph" w:styleId="Heading1">
    <w:name w:val="heading 1"/>
    <w:basedOn w:val="Normal"/>
    <w:next w:val="Normal"/>
    <w:link w:val="Heading1Char"/>
    <w:uiPriority w:val="9"/>
    <w:qFormat/>
    <w:rsid w:val="00A60EED"/>
    <w:pPr>
      <w:keepNext/>
      <w:keepLines/>
      <w:spacing w:before="240" w:after="0"/>
      <w:jc w:val="left"/>
      <w:outlineLvl w:val="0"/>
    </w:pPr>
    <w:rPr>
      <w:rFonts w:ascii="B Nazanin" w:eastAsiaTheme="majorEastAsia" w:hAnsi="B Nazanin" w:cstheme="majorBidi"/>
      <w:b/>
      <w:sz w:val="56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0EED"/>
    <w:rPr>
      <w:rFonts w:ascii="B Nazanin" w:eastAsiaTheme="majorEastAsia" w:hAnsi="B Nazanin" w:cstheme="majorBidi"/>
      <w:b/>
      <w:sz w:val="56"/>
      <w:szCs w:val="32"/>
    </w:rPr>
  </w:style>
  <w:style w:type="table" w:styleId="TableGrid">
    <w:name w:val="Table Grid"/>
    <w:basedOn w:val="TableNormal"/>
    <w:uiPriority w:val="39"/>
    <w:rsid w:val="00270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772F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1B65C7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105D64"/>
    <w:pPr>
      <w:bidi w:val="0"/>
      <w:spacing w:after="0" w:line="240" w:lineRule="auto"/>
    </w:pPr>
    <w:rPr>
      <w:rFonts w:eastAsia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1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1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nst.ut.ac.ir/en/mainpage" TargetMode="External"/><Relationship Id="rId13" Type="http://schemas.openxmlformats.org/officeDocument/2006/relationships/image" Target="media/image1.jpg"/><Relationship Id="rId3" Type="http://schemas.openxmlformats.org/officeDocument/2006/relationships/settings" Target="settings.xml"/><Relationship Id="rId7" Type="http://schemas.openxmlformats.org/officeDocument/2006/relationships/hyperlink" Target="https://fnst.ut.ac.ir/en/mainpage" TargetMode="External"/><Relationship Id="rId12" Type="http://schemas.openxmlformats.org/officeDocument/2006/relationships/hyperlink" Target="https://fnst.ut.ac.ir/en/mainpag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fnst.ut.ac.ir/en/mainpage" TargetMode="External"/><Relationship Id="rId11" Type="http://schemas.openxmlformats.org/officeDocument/2006/relationships/hyperlink" Target="https://fnst.ut.ac.ir/en/mainpage" TargetMode="External"/><Relationship Id="rId5" Type="http://schemas.openxmlformats.org/officeDocument/2006/relationships/hyperlink" Target="https://fnst.ut.ac.ir/en/mainpage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fnst.ut.ac.ir/en/mainpa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nst.ut.ac.ir/en/mainpage" TargetMode="External"/><Relationship Id="rId14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885</Words>
  <Characters>5047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Nastaran Hosseini</dc:creator>
  <cp:keywords/>
  <dc:description/>
  <cp:lastModifiedBy>sohrabnavi</cp:lastModifiedBy>
  <cp:revision>4</cp:revision>
  <cp:lastPrinted>2021-08-22T19:22:00Z</cp:lastPrinted>
  <dcterms:created xsi:type="dcterms:W3CDTF">2021-08-22T19:22:00Z</dcterms:created>
  <dcterms:modified xsi:type="dcterms:W3CDTF">2021-09-19T06:12:00Z</dcterms:modified>
</cp:coreProperties>
</file>